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28" w:rsidRPr="002D16F2" w:rsidRDefault="00102128" w:rsidP="001021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02128" w:rsidRPr="002D16F2" w:rsidRDefault="00102128" w:rsidP="001021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02128" w:rsidRPr="002D16F2" w:rsidRDefault="00102128" w:rsidP="001021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2D16F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3</w:t>
      </w:r>
    </w:p>
    <w:p w:rsidR="00102128" w:rsidRPr="00102128" w:rsidRDefault="00102128" w:rsidP="00102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02128" w:rsidRPr="00102128" w:rsidRDefault="00102128" w:rsidP="00102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02128" w:rsidRPr="00102128" w:rsidRDefault="00271971" w:rsidP="00102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ТАБЛИЦА З</w:t>
      </w:r>
      <w:r w:rsidR="00102128" w:rsidRPr="00102128">
        <w:rPr>
          <w:rFonts w:ascii="Times New Roman" w:hAnsi="Times New Roman" w:cs="Times New Roman"/>
          <w:b/>
          <w:sz w:val="28"/>
          <w:szCs w:val="28"/>
          <w:lang w:val="bg-BG"/>
        </w:rPr>
        <w:t>А СЪОТВЕТСТВИЕ</w:t>
      </w:r>
    </w:p>
    <w:p w:rsidR="00102128" w:rsidRPr="00102128" w:rsidRDefault="00102128" w:rsidP="00102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02128" w:rsidRPr="00102128" w:rsidRDefault="00102128" w:rsidP="001021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307"/>
        <w:gridCol w:w="4159"/>
        <w:gridCol w:w="4159"/>
        <w:gridCol w:w="2559"/>
      </w:tblGrid>
      <w:tr w:rsidR="00102128" w:rsidRPr="00EA60FF" w:rsidTr="00F44302">
        <w:trPr>
          <w:cantSplit/>
          <w:tblHeader/>
        </w:trPr>
        <w:tc>
          <w:tcPr>
            <w:tcW w:w="738" w:type="dxa"/>
            <w:shd w:val="clear" w:color="auto" w:fill="D9D9D9" w:themeFill="background1" w:themeFillShade="D9"/>
          </w:tcPr>
          <w:p w:rsidR="00102128" w:rsidRPr="00EA60FF" w:rsidRDefault="00102128" w:rsidP="00102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128" w:rsidRPr="00EA60FF" w:rsidRDefault="00102128" w:rsidP="00102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Описание / параметър / компонент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128" w:rsidRPr="00EA60FF" w:rsidRDefault="00102128" w:rsidP="00102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Изискване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128" w:rsidRPr="00102128" w:rsidRDefault="00102128" w:rsidP="00102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2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Предложение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2128" w:rsidRPr="00102128" w:rsidRDefault="00102128" w:rsidP="0010212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1021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Бележки</w:t>
            </w: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84" w:type="dxa"/>
            <w:gridSpan w:val="4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Сървър тип 1 – 2 броя</w:t>
            </w: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предостави физически сървър предназначен за сървърна виртуализация (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Oracle VM)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Форм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фактор,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монтаж в стандартен 19“ шкаф, минимум 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Процесор,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Инсталирани 2 броя процесори,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ядра,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GHz,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последно поколение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Xeon E5 v4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или еквивалентен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Оперативна памет,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512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GB, 2400MHz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Оперативна памет, поддръжка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 1.5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TB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Капацитет за операционна система,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 броя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HDD, 300 GB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10K 12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SAS,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конфигурирани в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RAID 1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група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Свързаност,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 порта 10GBase-T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порта 1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Свързаност,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 порта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FC 16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Разширителни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модули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8 броя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3.0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Захранване,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Резервирано,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 220-240V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включен лиценз за отдалечено управление чрез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с възможност за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KVM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конзола и емулация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CD/DVD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Допълнителни кабели и модули,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достави със всички кабели за свързването му към инфраструктурата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Гаранция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–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минимум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реакция – максимум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bookmarkStart w:id="0" w:name="OLE_LINK43"/>
            <w:bookmarkStart w:id="1" w:name="OLE_LINK44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поддръжка в работно време и време за реакция до 4 часа.</w:t>
            </w:r>
            <w:bookmarkEnd w:id="0"/>
            <w:bookmarkEnd w:id="1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Сървър тип 2 – 8 броя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предостави физически сървър предназначен за сървърна виртуализация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Форм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фактор,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монтаж в стандартен 19“ шкаф, минимум 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Процесор,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Инсталирани 2 броя процесори,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ядра,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GHz,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последно поколение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Xeon E5 v4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или еквивалентен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Оперативна памет,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512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GB, 2400MHz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Оперативна памет, поддръжка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 1.5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TB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Капацитет за операционна система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предостави капацитет за инсталиране на операционна система за виртуализация (диск,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USB flash, SD)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Свързаност,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LAN,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2 порта 10GBase-T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порта 1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Свързаност,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 порта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FC 16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Разширителни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модули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8 броя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PCIe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3.0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Захранване,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Резервирано,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 220-240V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 включен лиценз за отдалечено управление чрез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с възможност за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KVM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конзола и емулация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CD/DVD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Допълнителни кабели и модули,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достави със всички кабели за свързването му към инфраструктурата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 – минимум, реакция – максимум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поддръжка в работно време и време за реакция до 4 часа.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Дисков масив тип 1 – 1 брой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предложи дисков масив с изцяло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Flash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базирана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Scale-Out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архитектура.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Решението трябва да използва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Scale-Out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технология, при която при добавянето на капацитет линейно се разширяват и останалите компоненти на системата (памет,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процесорна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мощ, портове и др.)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монтаж в 19“ шкаф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Контролери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Резервирани контролери за управление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капацитет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10 TB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Raw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капацитет съставен изцяло от SSD (FLASH) дискове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Използваем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капацитет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7.5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TiB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данните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едновременно отпадане на 2 диск без загуба на данни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Свързаност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Мин. 4 x 8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FC 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Мин. 4 x 10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Ethernet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ISCSI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Мин. 2 x 1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управление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Функционалност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предложението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Data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Deduplication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inline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Data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Compression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inline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Thin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Provisioning</w:t>
            </w:r>
            <w:proofErr w:type="spellEnd"/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 това число: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Консистентни групи – възможност за създаване на едновременен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група от дялове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предназначени само за четене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 възможност за използването им за четене и писани (като стандартни дялове)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Функционалност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Възможност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криптиране на данните чрез SED –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самокриптиращи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се дискове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Захранване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Резервирано захранване, AC 220 – 240 V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Обновяване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системата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Обновяването на системния софтуер да е без нужда от прекъсване на работата на масива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GUI (графичен интерфейс)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CLI (команден ред)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Допълнителни кабели и модули,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достави със всички кабели за свързването му към инфраструктурата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 – минимум, реакция – максимум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bookmarkStart w:id="2" w:name="OLE_LINK45"/>
            <w:bookmarkStart w:id="3" w:name="OLE_LINK46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3 години от производителя, с поддръжка 24x7 и време за реакция до 4 часа. </w:t>
            </w:r>
            <w:bookmarkEnd w:id="2"/>
            <w:bookmarkEnd w:id="3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Дисков масив тип </w:t>
            </w: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– 1 брой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 се предостави дисков масив за нуждите на сървърната виртуализация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Форм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фактор,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монтаж в 19“ шкаф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Контролери,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Резервирани контролери за управление/ 48 GB обща кеш памет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Допълнителна кеш памет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има възможност за разширение на кеш паметта чрез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Flash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дискове, масивът да бъде инсталиран с 800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GB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допълнителна използваема кеш памет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Поддържани видове дискове,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SAS, NL-SAS и SSD едновременно в една система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3.5“ и 2.5“ дискове едновременно в една система.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Максимален брой дискове,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разширение до 150 диска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Дискови интерфейси,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12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SAS, резервирани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Подмяна по време на работа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подмяна на дисковете по време на работа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Използваем капацитет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дискове,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24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TiB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реализирани с 1.2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TB SAS 10K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дискове (или с дискове с по-малък капацитет) + 2 диска за защита при отпадане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Hot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Spare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Използваем капацитет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дискове,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TiB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реализирани с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TB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NL-SAS 7200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дискове (или с дискове с по-малък капацитет) + 1 диск за защита при отпадане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Hot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Spare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включва лиценз за автоматично разпределение на данните между бързи и бавни дискове, в зависимост на натоварването (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Automatic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Tiering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Thin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Provisioning</w:t>
            </w:r>
            <w:proofErr w:type="spellEnd"/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Услуги и протоколи,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файлови услуги – NFS(3,4,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.1), SMB(1,2,3), FTP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блокови услуги – FC,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iSCSI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Свързаност,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броя 10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GbaseT</w:t>
            </w:r>
            <w:proofErr w:type="spellEnd"/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броя 16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FC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GUI (графичен интерфейс)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CLI (команден ред)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Допълнителни кабели и модули,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достави със всички кабели за свързването му към инфраструктурата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 – минимум, реакция – максимум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3 години от производителя, с поддръжка 24x7 и време за реакция до 4 часа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Дисков масив тип 3 – 1 брой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 се предостави дисков масив за нуждите на софтуера за резервни копия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Форм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фактор,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монтаж в 19“ шкаф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Контролери,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Резервирани контролери за управление/ 48 GB обща кеш памет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Допълнителна кеш памет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има възможност за разширение на кеш паметта чрез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Flash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дискове, масивът да бъде инсталиран с 400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GB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допълнителна използваема кеш памет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Поддържани видове дискове,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SAS, NL-SAS и SSD едновременно в една система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3.5“ и 2.5“ дискове едновременно в една система.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Максимален брой дискове,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разширение до 150 диска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Дискови интерфейси,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12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SAS, резервирани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Подмяна по време на работа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подмяна на дисковете по време на работа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Използваем капацитет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дискове,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TiB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реализирани с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TB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NL-SAS 7200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дискове (или с дискове с по-малък капацитет) +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диск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 защита при отпадане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Hot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Spare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Thin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Provisioning</w:t>
            </w:r>
            <w:proofErr w:type="spellEnd"/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Snapshots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Услуги и протоколи,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файлови услуги – NFS(3,4,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4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.1), SMB(1,2,3), FTP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блокови услуги – FC,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iSCSI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Свързаност,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броя 10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GbaseT</w:t>
            </w:r>
            <w:proofErr w:type="spellEnd"/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броя 16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FC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GUI (графичен интерфейс)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предоставя управление посредством CLI (команден ред)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Допълнителни кабели и модули,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се достави със всички кабели за свързването му към инфраструктурата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 – минимум, реакция – максимум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3 години от производителя, с поддръжка 24x7 и време за реакция до 4 часа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Софтуер за сървърна виртуализация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Да се доставят лицензи за софтуер за виртуализация на 8 бр. сървъри тип 2 с лиценз за общо централизирано управление.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pStyle w:val="ad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Виртуализация,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Пълна виртуализация на паметта, процесорите, логическите дискове и мрежовите адаптери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Хардуерна виртуализация,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технологии за хардуерна виртуализация, като AMD-В,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Intel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VT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няма ограничени в броя на виртуалните машини работещи върху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виртуализираните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сървъри.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подържа 64-битови гост-операционни системи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Boot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from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SAN за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хипервайзъра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 може да премества виртуални машини от един физически хост към друг в реално време, без прекъсване на работата 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Автоматично стартиране на виртуална машина на нов хост в случай на хардуерен проблем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може да се добавя CPU, RAM, HDD, мрежов адаптер към виртуалната машина в реално време, без прекъсване на работата 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динамично разпределение на натоварването, чрез автоматично разпределение на работата на виртуалните машини върху виртуалните хостове.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 за автоматично динамично управление на разпределението на физическите ресурси между виртуалните машини, способна в реално време да заделя 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необходимите ресурси за виртуални машини, по предварително зададени правила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оптимизирана консумацията на електроенергия на виртуалната инфраструктура, чрез консолидиране на работещите виртуални машини върху по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малък брой хостове и спирането на освободените хостове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Динамично балансиране на дисковото пространство чрез следене на натоварването на дисковите системи.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Директно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презентиране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логически дялове (LUN) от хост средата към виртуалните машини.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ограничаване на трафика на мрежовите интерфейси на всяка виртуална машина.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създаване и управление на виртуален мрежов комутатор, който обхваща всички сървъри за виртуализация в клъстера.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инсталация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хипервайзора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върху USB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у-ва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SD карти и т.н преносими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у-ва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управление и наблюдение на виртуалните машини и цялостната платформа чрез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web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клиент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включени подновявания до по-нови версии и поддръжка в работно време.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bookmarkStart w:id="4" w:name="OLE_LINK68"/>
            <w:bookmarkStart w:id="5" w:name="OLE_LINK69"/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Софтуер за създаване и управление на резервни копия</w:t>
            </w:r>
            <w:bookmarkEnd w:id="4"/>
            <w:bookmarkEnd w:id="5"/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Backup</w:t>
            </w: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/</w:t>
            </w: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Restore)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достави софтуер за създаване и управление на резервни копия.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Лицензи,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достави лиценз за защита на всички виртуални машини (без ограничение на броя им) работещи на специфицираните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виртуализирани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сървъри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и 2.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Софтуера да поддържа предложената виртуализация в предходната точка, както и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Oracle VM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Лицензи,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достави допълнителен лиценз за интегрирана защита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Oracle, Microsoft SQL, Informix, MySQL,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 големина на данните 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TB.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глобална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дедупликация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данните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не изисква инсталиране на допълнителен софтуер върху виртуалните машини („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agentless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“) за защитата им.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възстановяване на единични обекти/файлове от резервно копие (без допълнително инсталиране на софтуер върху виртуалните машини)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репликиране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резервни копия в резервен център за данни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Пълна поддръжка на лентови библиотеки и виртуални лентови библиотеки.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Възможност за автоматично откриване на нови виртуални машини и прибавянето им към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backup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задачите.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временно стартиране на виртуална машина директно от запазеното копие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Пълна поддръжка и защита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Oracle, Oracle RAC, Oracle ASM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Oracle Data Guard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инфраструктури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интеграция с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RMAN.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възстановяване на отделни таблици и бази.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Пълна поддръжка и защита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MS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Informix и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MySql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с възможност за извършване на цялостно копие или на копие на отделни бази.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създаване на отчети (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reports).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Табла за наблюдение на производителност и състоянието на системата.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 на всички функционалности през единична централизирана конзола.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включени подновявания до по-нови версии и поддръжка в работно време.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Мрежови комутатор – 1 брой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се достави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L2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мрежови комутатор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Интерфейси,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бъде оборудван с: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броя 10/100/1000 RJ45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ethernet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порта (медни)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4 броя 1GE SFP слота за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uplink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Хардуер,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512MB DRAM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128 MB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Flash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памет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Производителност,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216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Gbps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комутираща матрица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107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Mpps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ниво на предаване на данни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16000 MAC адреса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9198 байта MTU за L3 пакет за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гигабит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етернет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портовете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Автоматично активиране на порт, който е бил деактивиран поради грешка в мрежата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TFTP и NTP протоколи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следните механизми за превенция на цикли в мрежата: 802.1s, 802.1d или еквивалентни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Проследяване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Layer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2 маршрут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LACP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Link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Aggregation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Control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Protocol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минимум 4096 VLAN идентификационни номера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минимум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1023 активни VLAN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технология за отдалечено наблюдение, анализиране и управление на трафика.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802.1p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class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of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service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CoS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)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класификация на базата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source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destination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IP адреси, MAC адреси или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Layer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4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Transmission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Control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Protocol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/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User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Datagram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Protocol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(TCP/UDP) номера на портове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Минимум 8 изходящи опашки за порт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DSCP класифициране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автоматично осигуряване на качество на услугите включващо класифициране на трафика и конфигурация на изходящите опашки на всеки порт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динамично присъединяване на VLAN към потребител независимо от това къде е свързан потребителя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позволява прилагането на политики за сигурност за всеки отделен порт на комутатора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технология за отдалечен достъп посредством SSH протокол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Да поддържа SNMP v1, v2, v3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поддържа технология предоставяща ААА- RADIUS, TACACS+ или еквивалентни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DHCP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snooping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предотвратява възможността крайни устройства, които не са част от администрираната мрежа да приемат ролята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Spanning-Tree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root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комутатори.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поддържа поне 625 IPv4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Security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ACЕ записа  и 500 IPv4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QoS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ACE записа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UL 60950-1, второ издание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CAN/CSA-C22.2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No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60950-1, второ издание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 60950-1, второ издание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IEC 60950-1, второ издание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AS/NZS 60950-1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47CFR част 15 клас A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EN55022 клас A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ICES003 клас 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VCCI клас 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CNS13438 клас A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EN61000-3-2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EN61000-3-3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KN22 клас 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EN55024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CISPR24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EN300386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KN24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 и сертификати,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Reduction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of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Hazardous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Substances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(ROHS) включващ директива 2011/65/EU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Управление, задължително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Възможност за достъп до команден интерфейс за управление чрез конзола/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telnet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/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ssh</w:t>
            </w:r>
            <w:proofErr w:type="spellEnd"/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Окомплектовка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бъде окомплектован с необходимите монтажни елементи за монтаж в 19” комуникационен шкаф, максимална височина 1 RU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 – минимум, реакция – максимум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поддръжка в работно време и време за реакция до 4 часа.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bookmarkStart w:id="6" w:name="OLE_LINK82"/>
            <w:bookmarkStart w:id="7" w:name="OLE_LINK83"/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Мрежов оптичен преобразовател – 2 броя</w:t>
            </w:r>
            <w:bookmarkEnd w:id="6"/>
            <w:bookmarkEnd w:id="7"/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1000BASE-LX/LH оптичен преобразувател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 разстояния до 10 км</w:t>
            </w:r>
          </w:p>
        </w:tc>
        <w:tc>
          <w:tcPr>
            <w:tcW w:w="41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F2F2F2" w:themeFill="background1" w:themeFillShade="F2"/>
          </w:tcPr>
          <w:p w:rsidR="00102128" w:rsidRPr="00EA60FF" w:rsidRDefault="00102128" w:rsidP="00102128">
            <w:pPr>
              <w:pStyle w:val="ab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66" w:type="dxa"/>
            <w:gridSpan w:val="2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Система за мрежова сигурност за идентифициране на потребителите и крайните устройства в мрежата, и управление на достъпа – 1 брой</w:t>
            </w:r>
          </w:p>
        </w:tc>
        <w:tc>
          <w:tcPr>
            <w:tcW w:w="41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  <w:shd w:val="clear" w:color="auto" w:fill="F2F2F2" w:themeFill="background1" w:themeFillShade="F2"/>
          </w:tcPr>
          <w:p w:rsidR="00102128" w:rsidRPr="00EA60FF" w:rsidRDefault="00102128" w:rsidP="005960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Общо описание, производител, модел, продуктов номер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Резервирана система за мрежова сигурност за идентифициране на потребителите и крайните устройства в мрежата, и управление на достъпа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Брой поддържани крайни точки, минимум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включва лиценз за управление на минимум 1000 броя крайни устройства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 на мрежови устройства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включва лиценз за администрация и контрол на мрежови устройства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включва операционна система и база данни, за които не е необходим допълнителен лиценз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Виртуализация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включва лицензи за инсталация на минимум 2 виртуални машини, ако такива са необходими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Архитектура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има разпределена архитектура с цел по-висока надеждност и по-голяма производителност, която да отделя административните и мониторинг функционалности от контролните такива.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AAA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да поддържа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автентификация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оторизация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отчетност (ААА) на мрежови устройства 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Интеграция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има възможност за интеграция с SIEM системи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Стандарти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поддържа RADIUS и 802.1x стандарти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IPv6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поддържа IPv6 крайни точки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Функционалности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контрол на достъпа до мрежата чрез AAA и IEEE-802.1X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управление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guest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потребители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криптиране на връзките чрез между потребителите и мрежовите устройства чрез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802.1AE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MACSec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)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API интерфейс</w:t>
            </w:r>
          </w:p>
        </w:tc>
        <w:tc>
          <w:tcPr>
            <w:tcW w:w="4159" w:type="dxa"/>
          </w:tcPr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102128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Web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управление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 xml:space="preserve">да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ab/>
              <w:t xml:space="preserve">поддържа централизиран уеб интерфейс за управление  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CLI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интерфейс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да поддържа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Command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Line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Interface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(CLI)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Интеграция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Системата да поддържа интеграция с: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Microsoft Active Directory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Lightweight Directory Access Protocol (LDAP)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RADIUS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Системи за идентификация с еднократна парола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Да поддръжка на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Database Connectivity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(ODBC).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RADIUS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поддръжка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да поддържа RADIUS протокол за удостоверяване,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оторизация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отчетност (AAA)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Протоколи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следните протоколи: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PAP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MS-CHAP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Extensible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Authentication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Protocol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(EAP)-MD5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Protected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EAP (PEAP)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EAP-Flexible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Authentication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via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Secure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Tunneling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(FAST)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EAP‑Transport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Layer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Security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(TLS)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EAP-Tunneled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Transport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Layer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Security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(TTLS)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TACACS+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поддръжка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Поддръжка на TACACS+ за извършване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автентикация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оторизация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потребители при осъществяването на достъп до устройства, които поддържат TACACS+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Потребителски достъп до мрежови устройства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Поддръжка на осигуряване на нива на достъп до определени команди в мрежовите устройства за различни потребители и групи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Контрол на достъпа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да предоставя широк набор от опции за контрол на достъпа: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динамично зареждани в мрежовите устройства списъци за контрол на достъпа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динамично назначаване на VLAN-и към потребителите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URL пренасочвания на потребителите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именуване на локално конфигурирани в мрежовите устройства списъци за контрол на достъпа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групи за сигурност с различни тагове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Guest </w:t>
            </w: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функционалност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Системата да поддържа вградени методи за идентификация и обслужване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guest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потребители в мрежата, като: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web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портал за идентификация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guest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потребители </w:t>
            </w:r>
          </w:p>
          <w:p w:rsidR="00102128" w:rsidRPr="00EA60FF" w:rsidRDefault="00102128" w:rsidP="00102128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568" w:hanging="28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web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портал за идентификация на 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guest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потребители, управлявани от специално оторизирани потребители, които не са част от организацията (</w:t>
            </w:r>
            <w:proofErr w:type="spellStart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sponsors</w:t>
            </w:r>
            <w:proofErr w:type="spellEnd"/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Бъдещо разширение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Да има възможност за добавяне на функционалност позволяваща профилиране на крайни устройства, които се свързват към мрежовата инфраструктура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2128" w:rsidRPr="00EA60FF" w:rsidTr="00F44302">
        <w:trPr>
          <w:cantSplit/>
        </w:trPr>
        <w:tc>
          <w:tcPr>
            <w:tcW w:w="738" w:type="dxa"/>
            <w:shd w:val="clear" w:color="auto" w:fill="auto"/>
          </w:tcPr>
          <w:p w:rsidR="00102128" w:rsidRPr="00EA60FF" w:rsidRDefault="00102128" w:rsidP="00102128">
            <w:pPr>
              <w:pStyle w:val="ab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07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159" w:type="dxa"/>
            <w:shd w:val="clear" w:color="auto" w:fill="auto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EA6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 години от производителя, с включени подновявания до по-нови версии и поддръжка в работно време.</w:t>
            </w:r>
          </w:p>
        </w:tc>
        <w:tc>
          <w:tcPr>
            <w:tcW w:w="41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559" w:type="dxa"/>
          </w:tcPr>
          <w:p w:rsidR="00102128" w:rsidRPr="00EA60FF" w:rsidRDefault="00102128" w:rsidP="005960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F44302" w:rsidRPr="000005B1" w:rsidRDefault="00F44302" w:rsidP="00F44302">
      <w:pPr>
        <w:spacing w:before="240" w:after="24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 w:rsidRPr="000005B1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Забележка:</w:t>
      </w:r>
      <w:r w:rsidRPr="00F4430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Навсякъде в таблицата, </w:t>
      </w:r>
      <w:r w:rsidRPr="00F4430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в</w:t>
      </w:r>
      <w:r w:rsidRPr="000005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сяко посочване на стандарт, следва да се чете допълнено с думите „или еквивалент“.</w:t>
      </w:r>
    </w:p>
    <w:p w:rsidR="00102128" w:rsidRPr="00633A41" w:rsidRDefault="00102128" w:rsidP="00F44302">
      <w:pPr>
        <w:spacing w:before="240" w:after="240" w:line="240" w:lineRule="auto"/>
        <w:ind w:left="1418" w:hanging="141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</w:pPr>
      <w:bookmarkStart w:id="8" w:name="_GoBack"/>
      <w:bookmarkEnd w:id="8"/>
    </w:p>
    <w:sectPr w:rsidR="00102128" w:rsidRPr="00633A41" w:rsidSect="00BD7190">
      <w:headerReference w:type="default" r:id="rId8"/>
      <w:footerReference w:type="default" r:id="rId9"/>
      <w:pgSz w:w="16840" w:h="11907" w:orient="landscape" w:code="9"/>
      <w:pgMar w:top="1134" w:right="567" w:bottom="567" w:left="56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8C" w:rsidRDefault="00D4078C" w:rsidP="00C942EA">
      <w:pPr>
        <w:spacing w:after="0" w:line="240" w:lineRule="auto"/>
      </w:pPr>
      <w:r>
        <w:separator/>
      </w:r>
    </w:p>
  </w:endnote>
  <w:endnote w:type="continuationSeparator" w:id="0">
    <w:p w:rsidR="00D4078C" w:rsidRDefault="00D4078C" w:rsidP="00C9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single" w:sz="12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2893"/>
      <w:gridCol w:w="11293"/>
      <w:gridCol w:w="1736"/>
    </w:tblGrid>
    <w:tr w:rsidR="009C4825" w:rsidRPr="00264742" w:rsidTr="00BD7190">
      <w:tc>
        <w:tcPr>
          <w:tcW w:w="2835" w:type="dxa"/>
        </w:tcPr>
        <w:p w:rsidR="009C4825" w:rsidRPr="00332288" w:rsidRDefault="00D640DA" w:rsidP="009C4825">
          <w:pPr>
            <w:pStyle w:val="a5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noProof/>
              <w:lang w:val="bg-BG" w:eastAsia="bg-BG"/>
            </w:rPr>
            <w:drawing>
              <wp:anchor distT="0" distB="0" distL="114300" distR="114300" simplePos="0" relativeHeight="251659264" behindDoc="1" locked="0" layoutInCell="1" allowOverlap="1" wp14:anchorId="3B89EAFD" wp14:editId="3508AF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8506" cy="597652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6" t="11554" r="5486" b="-1"/>
                        <a:stretch/>
                      </pic:blipFill>
                      <pic:spPr bwMode="auto">
                        <a:xfrm>
                          <a:off x="0" y="0"/>
                          <a:ext cx="1438506" cy="597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067" w:type="dxa"/>
        </w:tcPr>
        <w:p w:rsidR="003A2E9A" w:rsidRPr="00D640DA" w:rsidRDefault="003A2E9A" w:rsidP="003A2E9A">
          <w:pPr>
            <w:pStyle w:val="a3"/>
            <w:tabs>
              <w:tab w:val="center" w:pos="4421"/>
              <w:tab w:val="left" w:pos="7725"/>
            </w:tabs>
            <w:spacing w:line="160" w:lineRule="exact"/>
            <w:jc w:val="center"/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</w:pPr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>ПРОЕКТ № BG05SFOP001-1.002-0008-C01</w:t>
          </w:r>
          <w:r w:rsidR="000F6C33" w:rsidRPr="00D640DA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>/</w:t>
          </w:r>
          <w:r w:rsidR="000F6C33" w:rsidRPr="00D640DA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 xml:space="preserve">31.01.2017 г. </w:t>
          </w:r>
          <w:r w:rsidR="00C9549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br/>
          </w:r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 xml:space="preserve">„Привеждане на информационните активи на НСИ в съответствие с изискванията на </w:t>
          </w:r>
          <w:proofErr w:type="spellStart"/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>Евростат</w:t>
          </w:r>
          <w:proofErr w:type="spellEnd"/>
          <w:r w:rsidRPr="00D640DA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 xml:space="preserve"> и миграция към ХЧО</w:t>
          </w:r>
          <w:r w:rsidR="00C72051"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  <w:t>“</w:t>
          </w:r>
        </w:p>
        <w:p w:rsidR="009C4825" w:rsidRPr="00D640DA" w:rsidRDefault="003A2E9A" w:rsidP="00C72051">
          <w:pPr>
            <w:pStyle w:val="a5"/>
            <w:spacing w:before="40" w:line="160" w:lineRule="exact"/>
            <w:jc w:val="center"/>
            <w:rPr>
              <w:rFonts w:ascii="Times New Roman" w:hAnsi="Times New Roman" w:cs="Times New Roman"/>
              <w:sz w:val="16"/>
              <w:szCs w:val="16"/>
              <w:highlight w:val="yellow"/>
            </w:rPr>
          </w:pPr>
          <w:r w:rsidRPr="00D640DA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t>Проектът се осъществява с финансовата подкрепа на Оперативна програма „Добро управление</w:t>
          </w:r>
          <w:r w:rsidR="00C72051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t>“</w:t>
          </w:r>
          <w:r w:rsidRPr="00D640DA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t xml:space="preserve">, </w:t>
          </w:r>
          <w:r w:rsidR="00C9549A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br/>
          </w:r>
          <w:proofErr w:type="spellStart"/>
          <w:r w:rsidRPr="00D640DA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t>съфинансирана</w:t>
          </w:r>
          <w:proofErr w:type="spellEnd"/>
          <w:r w:rsidRPr="00D640DA">
            <w:rPr>
              <w:rFonts w:ascii="Times New Roman" w:hAnsi="Times New Roman" w:cs="Times New Roman"/>
              <w:bCs/>
              <w:i/>
              <w:iCs/>
              <w:sz w:val="16"/>
              <w:szCs w:val="16"/>
              <w:lang w:val="bg-BG"/>
            </w:rPr>
            <w:t xml:space="preserve"> от Европейския социален фонд на Европейския съюз</w:t>
          </w:r>
        </w:p>
      </w:tc>
      <w:tc>
        <w:tcPr>
          <w:tcW w:w="1701" w:type="dxa"/>
          <w:vAlign w:val="bottom"/>
        </w:tcPr>
        <w:p w:rsidR="009C4825" w:rsidRPr="00264742" w:rsidRDefault="00332288" w:rsidP="009C4825">
          <w:pPr>
            <w:pStyle w:val="a5"/>
            <w:jc w:val="right"/>
            <w:rPr>
              <w:rFonts w:ascii="Times New Roman" w:hAnsi="Times New Roman" w:cs="Times New Roman"/>
              <w:b/>
              <w:sz w:val="16"/>
              <w:szCs w:val="16"/>
              <w:lang w:val="bg-BG"/>
            </w:rPr>
          </w:pP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t xml:space="preserve">Стр. </w: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begin"/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instrText xml:space="preserve"> PAGE </w:instrTex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separate"/>
          </w:r>
          <w:r w:rsidR="0037322C">
            <w:rPr>
              <w:rFonts w:ascii="Times New Roman" w:eastAsia="Calibri" w:hAnsi="Times New Roman" w:cs="Times New Roman"/>
              <w:i/>
              <w:noProof/>
              <w:sz w:val="16"/>
              <w:szCs w:val="16"/>
              <w:lang w:val="bg-BG"/>
            </w:rPr>
            <w:t>23</w: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end"/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t xml:space="preserve"> от </w: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begin"/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instrText xml:space="preserve"> NUMPAGES  </w:instrTex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separate"/>
          </w:r>
          <w:r w:rsidR="0037322C">
            <w:rPr>
              <w:rFonts w:ascii="Times New Roman" w:eastAsia="Calibri" w:hAnsi="Times New Roman" w:cs="Times New Roman"/>
              <w:i/>
              <w:noProof/>
              <w:sz w:val="16"/>
              <w:szCs w:val="16"/>
              <w:lang w:val="bg-BG"/>
            </w:rPr>
            <w:t>23</w:t>
          </w:r>
          <w:r w:rsidRPr="00264742">
            <w:rPr>
              <w:rFonts w:ascii="Times New Roman" w:eastAsia="Calibri" w:hAnsi="Times New Roman" w:cs="Times New Roman"/>
              <w:i/>
              <w:sz w:val="16"/>
              <w:szCs w:val="16"/>
              <w:lang w:val="bg-BG"/>
            </w:rPr>
            <w:fldChar w:fldCharType="end"/>
          </w:r>
        </w:p>
      </w:tc>
    </w:tr>
  </w:tbl>
  <w:p w:rsidR="009C4825" w:rsidRPr="00A93527" w:rsidRDefault="009C4825" w:rsidP="009C4825">
    <w:pPr>
      <w:pStyle w:val="a5"/>
      <w:rPr>
        <w:rFonts w:ascii="Times New Roman" w:hAnsi="Times New Roman" w:cs="Times New Roman"/>
        <w:sz w:val="2"/>
        <w:szCs w:val="2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8C" w:rsidRDefault="00D4078C" w:rsidP="00C942EA">
      <w:pPr>
        <w:spacing w:after="0" w:line="240" w:lineRule="auto"/>
      </w:pPr>
      <w:r>
        <w:separator/>
      </w:r>
    </w:p>
  </w:footnote>
  <w:footnote w:type="continuationSeparator" w:id="0">
    <w:p w:rsidR="00D4078C" w:rsidRDefault="00D4078C" w:rsidP="00C9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49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0"/>
      <w:gridCol w:w="9663"/>
      <w:gridCol w:w="3050"/>
    </w:tblGrid>
    <w:tr w:rsidR="00577FCE" w:rsidRPr="00577FCE" w:rsidTr="00BD7190">
      <w:trPr>
        <w:jc w:val="center"/>
      </w:trPr>
      <w:tc>
        <w:tcPr>
          <w:tcW w:w="2835" w:type="dxa"/>
          <w:vAlign w:val="center"/>
        </w:tcPr>
        <w:p w:rsidR="00577FCE" w:rsidRPr="00577FCE" w:rsidRDefault="00577FCE" w:rsidP="00577FC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7FCE">
            <w:rPr>
              <w:rFonts w:ascii="Times New Roman" w:hAnsi="Times New Roman" w:cs="Times New Roman"/>
              <w:noProof/>
              <w:sz w:val="16"/>
              <w:szCs w:val="16"/>
              <w:lang w:val="bg-BG" w:eastAsia="bg-BG"/>
            </w:rPr>
            <w:drawing>
              <wp:inline distT="0" distB="0" distL="0" distR="0" wp14:anchorId="6324775E" wp14:editId="09044C42">
                <wp:extent cx="1800000" cy="597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1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577FCE" w:rsidRPr="00577FCE" w:rsidRDefault="00577FCE" w:rsidP="00577FC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7FCE">
            <w:rPr>
              <w:rFonts w:ascii="Times New Roman" w:hAnsi="Times New Roman" w:cs="Times New Roman"/>
              <w:noProof/>
              <w:sz w:val="16"/>
              <w:szCs w:val="16"/>
              <w:lang w:val="bg-BG" w:eastAsia="bg-BG"/>
            </w:rPr>
            <w:drawing>
              <wp:inline distT="0" distB="0" distL="0" distR="0" wp14:anchorId="04EE442A" wp14:editId="43B9BDF9">
                <wp:extent cx="1440000" cy="579600"/>
                <wp:effectExtent l="0" t="0" r="825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S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577FCE" w:rsidRPr="00577FCE" w:rsidRDefault="00577FCE" w:rsidP="00577FCE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77FCE">
            <w:rPr>
              <w:rFonts w:ascii="Times New Roman" w:hAnsi="Times New Roman" w:cs="Times New Roman"/>
              <w:noProof/>
              <w:sz w:val="16"/>
              <w:szCs w:val="16"/>
              <w:lang w:val="bg-BG" w:eastAsia="bg-BG"/>
            </w:rPr>
            <w:drawing>
              <wp:inline distT="0" distB="0" distL="0" distR="0" wp14:anchorId="47B9D492" wp14:editId="3F1CBA15">
                <wp:extent cx="1800000" cy="6264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2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27F3A" w:rsidRPr="00577FCE" w:rsidRDefault="00D27F3A" w:rsidP="00577FC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E43"/>
    <w:multiLevelType w:val="hybridMultilevel"/>
    <w:tmpl w:val="25046752"/>
    <w:lvl w:ilvl="0" w:tplc="74788F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F2984"/>
    <w:multiLevelType w:val="multilevel"/>
    <w:tmpl w:val="EC7285D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0582C7E"/>
    <w:multiLevelType w:val="hybridMultilevel"/>
    <w:tmpl w:val="319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A3B32"/>
    <w:multiLevelType w:val="hybridMultilevel"/>
    <w:tmpl w:val="66765E02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6B347681"/>
    <w:multiLevelType w:val="hybridMultilevel"/>
    <w:tmpl w:val="443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8"/>
    <w:rsid w:val="000E7A05"/>
    <w:rsid w:val="000F6C33"/>
    <w:rsid w:val="00102128"/>
    <w:rsid w:val="00264742"/>
    <w:rsid w:val="00271971"/>
    <w:rsid w:val="002864A9"/>
    <w:rsid w:val="002B297F"/>
    <w:rsid w:val="00332288"/>
    <w:rsid w:val="0037322C"/>
    <w:rsid w:val="003A2E9A"/>
    <w:rsid w:val="003F1840"/>
    <w:rsid w:val="00416551"/>
    <w:rsid w:val="005329F7"/>
    <w:rsid w:val="00577FCE"/>
    <w:rsid w:val="005E27CA"/>
    <w:rsid w:val="00633A41"/>
    <w:rsid w:val="007E5672"/>
    <w:rsid w:val="00813509"/>
    <w:rsid w:val="008E7563"/>
    <w:rsid w:val="009237EB"/>
    <w:rsid w:val="00941F69"/>
    <w:rsid w:val="009C4825"/>
    <w:rsid w:val="009D264D"/>
    <w:rsid w:val="00A82CBF"/>
    <w:rsid w:val="00A93527"/>
    <w:rsid w:val="00AC0B89"/>
    <w:rsid w:val="00AF44E5"/>
    <w:rsid w:val="00B125D0"/>
    <w:rsid w:val="00B94302"/>
    <w:rsid w:val="00BD558E"/>
    <w:rsid w:val="00BD7190"/>
    <w:rsid w:val="00C364BE"/>
    <w:rsid w:val="00C72051"/>
    <w:rsid w:val="00C942EA"/>
    <w:rsid w:val="00C9549A"/>
    <w:rsid w:val="00D27F3A"/>
    <w:rsid w:val="00D303DD"/>
    <w:rsid w:val="00D4078C"/>
    <w:rsid w:val="00D45411"/>
    <w:rsid w:val="00D640DA"/>
    <w:rsid w:val="00D653EF"/>
    <w:rsid w:val="00E02388"/>
    <w:rsid w:val="00EF4F24"/>
    <w:rsid w:val="00F4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942EA"/>
  </w:style>
  <w:style w:type="paragraph" w:styleId="a5">
    <w:name w:val="footer"/>
    <w:basedOn w:val="a"/>
    <w:link w:val="a6"/>
    <w:uiPriority w:val="99"/>
    <w:unhideWhenUsed/>
    <w:rsid w:val="00C94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942EA"/>
  </w:style>
  <w:style w:type="table" w:styleId="a7">
    <w:name w:val="Table Grid"/>
    <w:basedOn w:val="a1"/>
    <w:uiPriority w:val="39"/>
    <w:rsid w:val="00C9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F1840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02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102128"/>
    <w:pPr>
      <w:ind w:left="720"/>
      <w:contextualSpacing/>
    </w:pPr>
  </w:style>
  <w:style w:type="paragraph" w:styleId="ad">
    <w:name w:val="No Spacing"/>
    <w:qFormat/>
    <w:rsid w:val="0010212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TableText">
    <w:name w:val="Table Text"/>
    <w:basedOn w:val="a"/>
    <w:link w:val="TableTextChar"/>
    <w:qFormat/>
    <w:rsid w:val="00102128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TableTextChar">
    <w:name w:val="Table Text Char"/>
    <w:basedOn w:val="a0"/>
    <w:link w:val="TableText"/>
    <w:rsid w:val="00102128"/>
    <w:rPr>
      <w:rFonts w:ascii="Times New Roman" w:eastAsia="Calibri" w:hAnsi="Times New Roman" w:cs="Times New Roman"/>
    </w:rPr>
  </w:style>
  <w:style w:type="character" w:customStyle="1" w:styleId="ac">
    <w:name w:val="Списък на абзаци Знак"/>
    <w:basedOn w:val="a0"/>
    <w:link w:val="ab"/>
    <w:uiPriority w:val="34"/>
    <w:rsid w:val="00102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942EA"/>
  </w:style>
  <w:style w:type="paragraph" w:styleId="a5">
    <w:name w:val="footer"/>
    <w:basedOn w:val="a"/>
    <w:link w:val="a6"/>
    <w:uiPriority w:val="99"/>
    <w:unhideWhenUsed/>
    <w:rsid w:val="00C942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942EA"/>
  </w:style>
  <w:style w:type="table" w:styleId="a7">
    <w:name w:val="Table Grid"/>
    <w:basedOn w:val="a1"/>
    <w:uiPriority w:val="39"/>
    <w:rsid w:val="00C94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F1840"/>
    <w:rPr>
      <w:rFonts w:ascii="Segoe UI" w:hAnsi="Segoe UI" w:cs="Segoe UI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1021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102128"/>
    <w:pPr>
      <w:ind w:left="720"/>
      <w:contextualSpacing/>
    </w:pPr>
  </w:style>
  <w:style w:type="paragraph" w:styleId="ad">
    <w:name w:val="No Spacing"/>
    <w:qFormat/>
    <w:rsid w:val="00102128"/>
    <w:pPr>
      <w:spacing w:after="0" w:line="240" w:lineRule="auto"/>
    </w:pPr>
    <w:rPr>
      <w:rFonts w:ascii="Calibri" w:eastAsia="Calibri" w:hAnsi="Calibri" w:cs="Times New Roman"/>
      <w:lang w:val="bg-BG"/>
    </w:rPr>
  </w:style>
  <w:style w:type="paragraph" w:customStyle="1" w:styleId="TableText">
    <w:name w:val="Table Text"/>
    <w:basedOn w:val="a"/>
    <w:link w:val="TableTextChar"/>
    <w:qFormat/>
    <w:rsid w:val="00102128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character" w:customStyle="1" w:styleId="TableTextChar">
    <w:name w:val="Table Text Char"/>
    <w:basedOn w:val="a0"/>
    <w:link w:val="TableText"/>
    <w:rsid w:val="00102128"/>
    <w:rPr>
      <w:rFonts w:ascii="Times New Roman" w:eastAsia="Calibri" w:hAnsi="Times New Roman" w:cs="Times New Roman"/>
    </w:rPr>
  </w:style>
  <w:style w:type="character" w:customStyle="1" w:styleId="ac">
    <w:name w:val="Списък на абзаци Знак"/>
    <w:basedOn w:val="a0"/>
    <w:link w:val="ab"/>
    <w:uiPriority w:val="34"/>
    <w:rsid w:val="00102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NSI\OPDU_HardWare\Proekt\Templates\OPDUHW-templateA4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OPDUHW-templateA4Landscape</Template>
  <TotalTime>9</TotalTime>
  <Pages>23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2017-03-19T15:45:00Z</cp:lastPrinted>
  <dcterms:created xsi:type="dcterms:W3CDTF">2017-04-11T06:14:00Z</dcterms:created>
  <dcterms:modified xsi:type="dcterms:W3CDTF">2017-04-24T18:33:00Z</dcterms:modified>
</cp:coreProperties>
</file>